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005" w:rsidRPr="00672C6C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Приложение 5 к </w:t>
      </w:r>
      <w:proofErr w:type="gramStart"/>
      <w:r w:rsidRPr="00672C6C">
        <w:t>муниципальной</w:t>
      </w:r>
      <w:proofErr w:type="gramEnd"/>
      <w:r w:rsidRPr="00672C6C">
        <w:t xml:space="preserve">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>
        <w:t>п</w:t>
      </w:r>
      <w:r w:rsidRPr="00672C6C">
        <w:t>рограмме</w:t>
      </w:r>
      <w:r>
        <w:t xml:space="preserve"> Златоустовского городского округа</w:t>
      </w:r>
      <w:r w:rsidRPr="00672C6C">
        <w:t xml:space="preserve">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"Капитальное строительство объектов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 w:rsidRPr="00672C6C">
        <w:t>собственности  Златоустовского городского</w:t>
      </w:r>
    </w:p>
    <w:p w:rsidR="00441005" w:rsidRPr="00A100C6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 округа</w:t>
      </w:r>
      <w:r>
        <w:t>»</w:t>
      </w:r>
      <w:r w:rsidRPr="00672C6C">
        <w:t xml:space="preserve"> </w:t>
      </w:r>
    </w:p>
    <w:p w:rsidR="00441005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</w:p>
    <w:p w:rsidR="00441005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  <w:r>
        <w:rPr>
          <w:sz w:val="28"/>
        </w:rPr>
        <w:t>Система</w:t>
      </w:r>
      <w:r w:rsidRPr="00FF2123">
        <w:rPr>
          <w:sz w:val="28"/>
        </w:rPr>
        <w:t xml:space="preserve"> мероприятий</w:t>
      </w:r>
      <w:r w:rsidRPr="00F310FB">
        <w:rPr>
          <w:sz w:val="28"/>
        </w:rPr>
        <w:t xml:space="preserve"> </w:t>
      </w:r>
      <w:r w:rsidRPr="006337BB">
        <w:rPr>
          <w:sz w:val="28"/>
        </w:rPr>
        <w:t>по решению вопросов местного значения в сфере капитального строительства, реконструкции, ремонту объектов собственности Златоустовско</w:t>
      </w:r>
      <w:r>
        <w:rPr>
          <w:sz w:val="28"/>
        </w:rPr>
        <w:t>го городского округа.</w:t>
      </w:r>
    </w:p>
    <w:p w:rsidR="00441005" w:rsidRPr="006337BB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39"/>
        <w:gridCol w:w="3666"/>
        <w:gridCol w:w="1134"/>
        <w:gridCol w:w="992"/>
        <w:gridCol w:w="850"/>
        <w:gridCol w:w="993"/>
      </w:tblGrid>
      <w:tr w:rsidR="00441005" w:rsidRPr="0075209C" w:rsidTr="00C7647D">
        <w:trPr>
          <w:tblHeader/>
        </w:trPr>
        <w:tc>
          <w:tcPr>
            <w:tcW w:w="3139" w:type="dxa"/>
          </w:tcPr>
          <w:p w:rsidR="00441005" w:rsidRPr="00672C6C" w:rsidRDefault="00441005" w:rsidP="009830DA">
            <w:pPr>
              <w:jc w:val="center"/>
            </w:pPr>
            <w:r w:rsidRPr="00672C6C">
              <w:t>Задачи</w:t>
            </w:r>
          </w:p>
        </w:tc>
        <w:tc>
          <w:tcPr>
            <w:tcW w:w="3666" w:type="dxa"/>
          </w:tcPr>
          <w:p w:rsidR="00441005" w:rsidRPr="00672C6C" w:rsidRDefault="00441005" w:rsidP="009830DA">
            <w:pPr>
              <w:jc w:val="center"/>
            </w:pPr>
            <w:r w:rsidRPr="00672C6C">
              <w:t>Мероприятия</w:t>
            </w:r>
          </w:p>
        </w:tc>
        <w:tc>
          <w:tcPr>
            <w:tcW w:w="3969" w:type="dxa"/>
            <w:gridSpan w:val="4"/>
          </w:tcPr>
          <w:p w:rsidR="00441005" w:rsidRPr="00672C6C" w:rsidRDefault="00441005" w:rsidP="009830DA">
            <w:pPr>
              <w:jc w:val="center"/>
            </w:pPr>
            <w:r w:rsidRPr="00672C6C">
              <w:t>Необходимые ресурсы</w:t>
            </w:r>
          </w:p>
        </w:tc>
      </w:tr>
      <w:tr w:rsidR="00441005" w:rsidRPr="00B65422" w:rsidTr="00C7647D">
        <w:trPr>
          <w:trHeight w:val="346"/>
        </w:trPr>
        <w:tc>
          <w:tcPr>
            <w:tcW w:w="3139" w:type="dxa"/>
            <w:vMerge w:val="restart"/>
          </w:tcPr>
          <w:p w:rsidR="00441005" w:rsidRDefault="00441005" w:rsidP="00672C6C">
            <w:pPr>
              <w:spacing w:before="80" w:after="80"/>
            </w:pPr>
            <w:r>
              <w:rPr>
                <w:color w:val="2D2C2C"/>
              </w:rPr>
              <w:t xml:space="preserve">1) </w:t>
            </w:r>
            <w:r w:rsidRPr="00993B81">
              <w:rPr>
                <w:sz w:val="22"/>
                <w:szCs w:val="22"/>
              </w:rPr>
              <w:t>обеспечение реализации предусмотренных</w:t>
            </w:r>
            <w:r>
              <w:rPr>
                <w:sz w:val="22"/>
                <w:szCs w:val="22"/>
              </w:rPr>
              <w:t xml:space="preserve"> </w:t>
            </w:r>
            <w:r w:rsidRPr="00993B81">
              <w:rPr>
                <w:sz w:val="22"/>
                <w:szCs w:val="22"/>
              </w:rPr>
              <w:t>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      </w:r>
          </w:p>
          <w:p w:rsidR="00441005" w:rsidRPr="00993B81" w:rsidRDefault="00441005" w:rsidP="00993B81">
            <w:pPr>
              <w:tabs>
                <w:tab w:val="left" w:pos="317"/>
              </w:tabs>
              <w:ind w:left="34"/>
              <w:jc w:val="both"/>
            </w:pPr>
            <w:r>
              <w:t>2)</w:t>
            </w:r>
            <w:r>
              <w:rPr>
                <w:sz w:val="22"/>
                <w:szCs w:val="22"/>
              </w:rPr>
              <w:t xml:space="preserve">обеспечение </w:t>
            </w:r>
            <w:r w:rsidRPr="00993B81">
              <w:rPr>
                <w:sz w:val="22"/>
                <w:szCs w:val="22"/>
              </w:rPr>
              <w:t xml:space="preserve">технического надзора и строительного </w:t>
            </w:r>
            <w:proofErr w:type="gramStart"/>
            <w:r w:rsidRPr="00993B81">
              <w:rPr>
                <w:sz w:val="22"/>
                <w:szCs w:val="22"/>
              </w:rPr>
              <w:t>контроля за</w:t>
            </w:r>
            <w:proofErr w:type="gramEnd"/>
            <w:r w:rsidRPr="00993B81">
              <w:rPr>
                <w:sz w:val="22"/>
                <w:szCs w:val="22"/>
              </w:rPr>
              <w:t xml:space="preserve"> строительством, реконструкцией объектов собственности Златоустовского городского округа;</w:t>
            </w:r>
          </w:p>
          <w:p w:rsidR="00441005" w:rsidRPr="00993B81" w:rsidRDefault="00441005" w:rsidP="00993B81">
            <w:pPr>
              <w:tabs>
                <w:tab w:val="left" w:pos="317"/>
              </w:tabs>
              <w:ind w:left="34"/>
              <w:jc w:val="both"/>
              <w:rPr>
                <w:color w:val="000000"/>
              </w:rPr>
            </w:pPr>
            <w:r>
              <w:t>3)</w:t>
            </w:r>
            <w:r w:rsidRPr="00993B81">
              <w:rPr>
                <w:color w:val="000000"/>
                <w:sz w:val="22"/>
                <w:szCs w:val="22"/>
              </w:rPr>
              <w:t xml:space="preserve">качественное и своевременное обеспечение деятельности </w:t>
            </w:r>
            <w:proofErr w:type="spellStart"/>
            <w:r w:rsidRPr="00993B81">
              <w:rPr>
                <w:color w:val="000000"/>
                <w:sz w:val="22"/>
                <w:szCs w:val="22"/>
              </w:rPr>
              <w:t>МБУ</w:t>
            </w:r>
            <w:proofErr w:type="spellEnd"/>
            <w:r w:rsidRPr="00993B81">
              <w:rPr>
                <w:color w:val="000000"/>
                <w:sz w:val="22"/>
                <w:szCs w:val="22"/>
              </w:rPr>
              <w:t xml:space="preserve"> «Капитальное строительство», эффективное расходование бюджетных средств.</w:t>
            </w:r>
          </w:p>
          <w:p w:rsidR="00441005" w:rsidRPr="007821E8" w:rsidRDefault="00441005" w:rsidP="00672C6C">
            <w:pPr>
              <w:spacing w:before="80" w:after="80"/>
            </w:pPr>
          </w:p>
        </w:tc>
        <w:tc>
          <w:tcPr>
            <w:tcW w:w="3666" w:type="dxa"/>
            <w:vMerge w:val="restart"/>
          </w:tcPr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получение и оформление ис</w:t>
            </w:r>
            <w:r w:rsidRPr="007821E8">
              <w:rPr>
                <w:b/>
                <w:color w:val="2D2C2C"/>
                <w:sz w:val="22"/>
                <w:szCs w:val="22"/>
              </w:rPr>
              <w:t>х</w:t>
            </w:r>
            <w:r w:rsidRPr="007821E8">
              <w:rPr>
                <w:color w:val="2D2C2C"/>
                <w:sz w:val="22"/>
                <w:szCs w:val="22"/>
              </w:rPr>
              <w:t>одных данных для проектирования объектов строительства и реконструкции;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техническое сопровождение проектной стадии;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оформление разрешительной документации на строительство и реконструкцию;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координирование деятельности проектных, строительно-монтажных, специализированных и других организаций, осуществляющих проектирование, строительство и реконструкцию объектов;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заключение договоров на подрядные работы;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tabs>
                <w:tab w:val="left" w:pos="214"/>
              </w:tabs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получение согласований сопутствующих строительству организаций и Управления архитектуры и градостроительства;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осуществление контроля и технического надзора за возведением объектов, финансируемых счет средств бюджетов всех уровней;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ind w:left="0" w:hanging="20"/>
            </w:pPr>
            <w:r w:rsidRPr="007821E8">
              <w:rPr>
                <w:color w:val="2D2C2C"/>
                <w:sz w:val="22"/>
                <w:szCs w:val="22"/>
              </w:rPr>
              <w:t>ввод в эксплуатацию объектов строительства.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spacing w:before="80" w:after="80"/>
              <w:ind w:left="0" w:hanging="20"/>
            </w:pPr>
            <w:r w:rsidRPr="007821E8">
              <w:rPr>
                <w:sz w:val="22"/>
                <w:szCs w:val="22"/>
              </w:rPr>
              <w:t xml:space="preserve">осуществление контроля </w:t>
            </w:r>
            <w:r w:rsidRPr="007821E8">
              <w:rPr>
                <w:sz w:val="22"/>
                <w:szCs w:val="22"/>
                <w:shd w:val="clear" w:color="auto" w:fill="FFFFFF"/>
              </w:rPr>
              <w:t xml:space="preserve">за законным, экономным, эффективным и целесообразным использованием финансовых и материальных ресурсов, предупреждением финансовых нарушений, бесхозяйственности и расточительства </w:t>
            </w:r>
            <w:r w:rsidRPr="007821E8">
              <w:rPr>
                <w:sz w:val="22"/>
                <w:szCs w:val="22"/>
              </w:rPr>
              <w:t xml:space="preserve">в </w:t>
            </w:r>
            <w:proofErr w:type="spellStart"/>
            <w:r w:rsidRPr="007821E8">
              <w:rPr>
                <w:sz w:val="22"/>
                <w:szCs w:val="22"/>
              </w:rPr>
              <w:t>МБУ</w:t>
            </w:r>
            <w:proofErr w:type="spellEnd"/>
            <w:r w:rsidRPr="007821E8">
              <w:rPr>
                <w:sz w:val="22"/>
                <w:szCs w:val="22"/>
              </w:rPr>
              <w:t xml:space="preserve"> «Капитальное строительство»,</w:t>
            </w:r>
          </w:p>
          <w:p w:rsidR="00441005" w:rsidRPr="007821E8" w:rsidRDefault="00441005" w:rsidP="00672C6C">
            <w:pPr>
              <w:pStyle w:val="3"/>
              <w:tabs>
                <w:tab w:val="left" w:pos="0"/>
              </w:tabs>
              <w:spacing w:after="0"/>
              <w:ind w:hanging="20"/>
              <w:rPr>
                <w:rFonts w:ascii="Times New Roman" w:hAnsi="Times New Roman" w:cs="Times New Roman"/>
                <w:sz w:val="22"/>
                <w:szCs w:val="22"/>
              </w:rPr>
            </w:pPr>
            <w:r w:rsidRPr="007821E8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устранению недостатков и</w:t>
            </w:r>
            <w:r w:rsidRPr="007821E8">
              <w:rPr>
                <w:rStyle w:val="apple-converted-space"/>
                <w:rFonts w:ascii="Times New Roman" w:hAnsi="Times New Roman"/>
                <w:sz w:val="22"/>
                <w:szCs w:val="22"/>
              </w:rPr>
              <w:t xml:space="preserve">  </w:t>
            </w:r>
            <w:r w:rsidRPr="007821E8">
              <w:rPr>
                <w:rFonts w:ascii="Times New Roman" w:hAnsi="Times New Roman" w:cs="Times New Roman"/>
                <w:sz w:val="22"/>
                <w:szCs w:val="22"/>
              </w:rPr>
              <w:t>нарушений, выявленных в результате контрольных мероприятий.</w:t>
            </w:r>
          </w:p>
        </w:tc>
        <w:tc>
          <w:tcPr>
            <w:tcW w:w="1134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r>
              <w:t>Итого</w:t>
            </w:r>
          </w:p>
        </w:tc>
        <w:tc>
          <w:tcPr>
            <w:tcW w:w="992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pacing w:val="-10"/>
                </w:rPr>
                <w:t>2014 г</w:t>
              </w:r>
            </w:smartTag>
            <w:r>
              <w:rPr>
                <w:spacing w:val="-10"/>
              </w:rPr>
              <w:t>.</w:t>
            </w:r>
          </w:p>
        </w:tc>
        <w:tc>
          <w:tcPr>
            <w:tcW w:w="850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2015г</w:t>
            </w:r>
            <w:proofErr w:type="spellEnd"/>
            <w:r>
              <w:rPr>
                <w:spacing w:val="-10"/>
              </w:rPr>
              <w:t>.</w:t>
            </w:r>
          </w:p>
        </w:tc>
        <w:tc>
          <w:tcPr>
            <w:tcW w:w="993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2016г</w:t>
            </w:r>
            <w:proofErr w:type="spellEnd"/>
            <w:r>
              <w:rPr>
                <w:spacing w:val="-10"/>
              </w:rPr>
              <w:t>.</w:t>
            </w:r>
          </w:p>
        </w:tc>
      </w:tr>
      <w:tr w:rsidR="00854AA1" w:rsidRPr="00854AA1" w:rsidTr="00C7647D">
        <w:trPr>
          <w:trHeight w:val="10020"/>
        </w:trPr>
        <w:tc>
          <w:tcPr>
            <w:tcW w:w="3139" w:type="dxa"/>
            <w:vMerge/>
          </w:tcPr>
          <w:p w:rsidR="00441005" w:rsidRPr="00672C6C" w:rsidRDefault="00441005" w:rsidP="00672C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  <w:bookmarkStart w:id="0" w:name="_GoBack" w:colFirst="2" w:colLast="6"/>
          </w:p>
        </w:tc>
        <w:tc>
          <w:tcPr>
            <w:tcW w:w="3666" w:type="dxa"/>
            <w:vMerge/>
          </w:tcPr>
          <w:p w:rsidR="00441005" w:rsidRPr="00672C6C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1134" w:type="dxa"/>
          </w:tcPr>
          <w:p w:rsidR="00441005" w:rsidRPr="00854AA1" w:rsidRDefault="00441005" w:rsidP="005302E7">
            <w:pPr>
              <w:autoSpaceDE w:val="0"/>
              <w:autoSpaceDN w:val="0"/>
              <w:ind w:left="-108" w:right="-108" w:hanging="16"/>
              <w:jc w:val="center"/>
              <w:rPr>
                <w:lang w:val="en-US"/>
              </w:rPr>
            </w:pPr>
            <w:r w:rsidRPr="00854AA1">
              <w:rPr>
                <w:sz w:val="22"/>
                <w:szCs w:val="22"/>
              </w:rPr>
              <w:t>18 25</w:t>
            </w:r>
            <w:r w:rsidRPr="00854AA1">
              <w:rPr>
                <w:sz w:val="22"/>
                <w:szCs w:val="22"/>
                <w:lang w:val="en-US"/>
              </w:rPr>
              <w:t>7</w:t>
            </w:r>
            <w:r w:rsidRPr="00854AA1">
              <w:rPr>
                <w:sz w:val="22"/>
                <w:szCs w:val="22"/>
              </w:rPr>
              <w:t>,</w:t>
            </w:r>
            <w:r w:rsidRPr="00854AA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441005" w:rsidRPr="00854AA1" w:rsidRDefault="00441005" w:rsidP="005302E7">
            <w:pPr>
              <w:autoSpaceDE w:val="0"/>
              <w:autoSpaceDN w:val="0"/>
              <w:ind w:left="-31" w:right="-108" w:hanging="16"/>
              <w:rPr>
                <w:lang w:val="en-US"/>
              </w:rPr>
            </w:pPr>
            <w:r w:rsidRPr="00854AA1">
              <w:rPr>
                <w:sz w:val="22"/>
                <w:szCs w:val="22"/>
              </w:rPr>
              <w:t>6 085,</w:t>
            </w:r>
            <w:r w:rsidRPr="00854AA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0" w:type="dxa"/>
          </w:tcPr>
          <w:p w:rsidR="00441005" w:rsidRPr="00854AA1" w:rsidRDefault="00441005" w:rsidP="005302E7">
            <w:pPr>
              <w:autoSpaceDE w:val="0"/>
              <w:autoSpaceDN w:val="0"/>
              <w:ind w:left="-31" w:right="-108" w:hanging="16"/>
              <w:rPr>
                <w:lang w:val="en-US"/>
              </w:rPr>
            </w:pPr>
            <w:r w:rsidRPr="00854AA1">
              <w:rPr>
                <w:sz w:val="22"/>
                <w:szCs w:val="22"/>
              </w:rPr>
              <w:t>6 085,</w:t>
            </w:r>
            <w:r w:rsidRPr="00854AA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3" w:type="dxa"/>
          </w:tcPr>
          <w:p w:rsidR="00441005" w:rsidRPr="00854AA1" w:rsidRDefault="00441005" w:rsidP="005302E7">
            <w:pPr>
              <w:autoSpaceDE w:val="0"/>
              <w:autoSpaceDN w:val="0"/>
              <w:ind w:left="-31" w:right="-108" w:hanging="16"/>
              <w:rPr>
                <w:lang w:val="en-US"/>
              </w:rPr>
            </w:pPr>
            <w:r w:rsidRPr="00854AA1">
              <w:rPr>
                <w:sz w:val="22"/>
                <w:szCs w:val="22"/>
              </w:rPr>
              <w:t>6 085,</w:t>
            </w:r>
            <w:r w:rsidRPr="00854AA1">
              <w:rPr>
                <w:sz w:val="22"/>
                <w:szCs w:val="22"/>
                <w:lang w:val="en-US"/>
              </w:rPr>
              <w:t>7</w:t>
            </w:r>
          </w:p>
        </w:tc>
      </w:tr>
      <w:bookmarkEnd w:id="0"/>
    </w:tbl>
    <w:p w:rsidR="00441005" w:rsidRDefault="00441005"/>
    <w:sectPr w:rsidR="00441005" w:rsidSect="0066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6C7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684E56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FB"/>
    <w:rsid w:val="001E1100"/>
    <w:rsid w:val="001E3B84"/>
    <w:rsid w:val="001E60D8"/>
    <w:rsid w:val="00234AB1"/>
    <w:rsid w:val="003155BE"/>
    <w:rsid w:val="003D7629"/>
    <w:rsid w:val="003D7FB2"/>
    <w:rsid w:val="0043106A"/>
    <w:rsid w:val="00441005"/>
    <w:rsid w:val="0049672F"/>
    <w:rsid w:val="00497E23"/>
    <w:rsid w:val="004C4449"/>
    <w:rsid w:val="0050734B"/>
    <w:rsid w:val="005302E7"/>
    <w:rsid w:val="00546DE9"/>
    <w:rsid w:val="005D0CB7"/>
    <w:rsid w:val="005E01B7"/>
    <w:rsid w:val="00625E4C"/>
    <w:rsid w:val="006337BB"/>
    <w:rsid w:val="006521C9"/>
    <w:rsid w:val="006530E7"/>
    <w:rsid w:val="00663239"/>
    <w:rsid w:val="00665CE8"/>
    <w:rsid w:val="006727D3"/>
    <w:rsid w:val="00672C6C"/>
    <w:rsid w:val="006C6D73"/>
    <w:rsid w:val="007053FC"/>
    <w:rsid w:val="00706EFE"/>
    <w:rsid w:val="0075209C"/>
    <w:rsid w:val="007779DE"/>
    <w:rsid w:val="007821E8"/>
    <w:rsid w:val="007B2B96"/>
    <w:rsid w:val="00854AA1"/>
    <w:rsid w:val="00890944"/>
    <w:rsid w:val="00892575"/>
    <w:rsid w:val="008B2A87"/>
    <w:rsid w:val="009033E7"/>
    <w:rsid w:val="00913CB3"/>
    <w:rsid w:val="009830DA"/>
    <w:rsid w:val="00993B81"/>
    <w:rsid w:val="00A100C6"/>
    <w:rsid w:val="00A12973"/>
    <w:rsid w:val="00A421C3"/>
    <w:rsid w:val="00A51F8E"/>
    <w:rsid w:val="00AB06DE"/>
    <w:rsid w:val="00AF1C64"/>
    <w:rsid w:val="00B500B4"/>
    <w:rsid w:val="00B61978"/>
    <w:rsid w:val="00B65422"/>
    <w:rsid w:val="00B71B58"/>
    <w:rsid w:val="00B94899"/>
    <w:rsid w:val="00BA4D2F"/>
    <w:rsid w:val="00C7647D"/>
    <w:rsid w:val="00C95BA2"/>
    <w:rsid w:val="00CD45B5"/>
    <w:rsid w:val="00D31FD3"/>
    <w:rsid w:val="00D45110"/>
    <w:rsid w:val="00D6549F"/>
    <w:rsid w:val="00DB1514"/>
    <w:rsid w:val="00DB54DF"/>
    <w:rsid w:val="00EC5469"/>
    <w:rsid w:val="00F310FB"/>
    <w:rsid w:val="00F54058"/>
    <w:rsid w:val="00FA27B8"/>
    <w:rsid w:val="00FF17E6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310FB"/>
    <w:rPr>
      <w:rFonts w:ascii="Arial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F310FB"/>
    <w:rPr>
      <w:rFonts w:cs="Times New Roman"/>
    </w:rPr>
  </w:style>
  <w:style w:type="paragraph" w:styleId="a3">
    <w:name w:val="List Paragraph"/>
    <w:basedOn w:val="a"/>
    <w:uiPriority w:val="99"/>
    <w:qFormat/>
    <w:rsid w:val="00C76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310FB"/>
    <w:rPr>
      <w:rFonts w:ascii="Arial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F310FB"/>
    <w:rPr>
      <w:rFonts w:cs="Times New Roman"/>
    </w:rPr>
  </w:style>
  <w:style w:type="paragraph" w:styleId="a3">
    <w:name w:val="List Paragraph"/>
    <w:basedOn w:val="a"/>
    <w:uiPriority w:val="99"/>
    <w:qFormat/>
    <w:rsid w:val="00C76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2</cp:revision>
  <cp:lastPrinted>2013-12-06T10:40:00Z</cp:lastPrinted>
  <dcterms:created xsi:type="dcterms:W3CDTF">2013-12-11T05:42:00Z</dcterms:created>
  <dcterms:modified xsi:type="dcterms:W3CDTF">2013-12-11T05:42:00Z</dcterms:modified>
</cp:coreProperties>
</file>